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8E010" w14:textId="5933BCDA" w:rsidR="00B83058" w:rsidRPr="00C26172" w:rsidRDefault="00100487" w:rsidP="00C26172">
      <w:pPr>
        <w:jc w:val="center"/>
        <w:rPr>
          <w:b/>
          <w:bCs/>
          <w:color w:val="000000"/>
          <w:sz w:val="32"/>
          <w:szCs w:val="32"/>
          <w:u w:val="single"/>
          <w:lang w:val="en-CA"/>
        </w:rPr>
      </w:pPr>
      <w:r w:rsidRPr="00C26172">
        <w:rPr>
          <w:b/>
          <w:bCs/>
          <w:color w:val="000000"/>
          <w:sz w:val="28"/>
          <w:szCs w:val="28"/>
          <w:u w:val="single"/>
          <w:lang w:val="en-CA"/>
        </w:rPr>
        <w:t xml:space="preserve">Stream </w:t>
      </w:r>
      <w:proofErr w:type="gramStart"/>
      <w:r w:rsidRPr="00C26172">
        <w:rPr>
          <w:b/>
          <w:bCs/>
          <w:color w:val="000000"/>
          <w:sz w:val="28"/>
          <w:szCs w:val="28"/>
          <w:u w:val="single"/>
          <w:lang w:val="en-CA"/>
        </w:rPr>
        <w:t>title :</w:t>
      </w:r>
      <w:proofErr w:type="gramEnd"/>
      <w:r w:rsidRPr="00C26172">
        <w:rPr>
          <w:b/>
          <w:bCs/>
          <w:color w:val="000000"/>
          <w:sz w:val="28"/>
          <w:szCs w:val="28"/>
          <w:u w:val="single"/>
          <w:lang w:val="en-CA"/>
        </w:rPr>
        <w:t xml:space="preserve"> </w:t>
      </w:r>
      <w:r w:rsidR="00C26172" w:rsidRPr="00C26172">
        <w:rPr>
          <w:b/>
          <w:bCs/>
          <w:color w:val="000000"/>
          <w:sz w:val="28"/>
          <w:szCs w:val="28"/>
          <w:u w:val="single"/>
          <w:lang w:val="en-CA"/>
        </w:rPr>
        <w:t xml:space="preserve"> </w:t>
      </w:r>
      <w:r w:rsidR="00505534" w:rsidRPr="00C26172">
        <w:rPr>
          <w:b/>
          <w:bCs/>
          <w:color w:val="000000"/>
          <w:sz w:val="28"/>
          <w:szCs w:val="28"/>
          <w:u w:val="single"/>
          <w:lang w:val="en-CA"/>
        </w:rPr>
        <w:t>Rethinking women’ career trajectories: An intersectional approach</w:t>
      </w:r>
    </w:p>
    <w:p w14:paraId="67AD5366" w14:textId="77777777" w:rsidR="00505534" w:rsidRPr="00C26172" w:rsidRDefault="00505534">
      <w:pPr>
        <w:rPr>
          <w:color w:val="000000"/>
          <w:sz w:val="20"/>
          <w:szCs w:val="20"/>
          <w:lang w:val="en-CA"/>
        </w:rPr>
      </w:pPr>
    </w:p>
    <w:p w14:paraId="2ED4BD83" w14:textId="5DF3A928" w:rsidR="006F2491" w:rsidRPr="00C26172" w:rsidRDefault="00100487">
      <w:pPr>
        <w:rPr>
          <w:b/>
          <w:bCs/>
          <w:color w:val="000000"/>
          <w:sz w:val="28"/>
          <w:szCs w:val="28"/>
          <w:u w:val="single"/>
          <w:lang w:val="en-CA"/>
        </w:rPr>
      </w:pPr>
      <w:r w:rsidRPr="00C26172">
        <w:rPr>
          <w:b/>
          <w:bCs/>
          <w:color w:val="000000"/>
          <w:sz w:val="28"/>
          <w:szCs w:val="28"/>
          <w:u w:val="single"/>
          <w:lang w:val="en-CA"/>
        </w:rPr>
        <w:t>Stream organizer’s</w:t>
      </w:r>
    </w:p>
    <w:p w14:paraId="2E8D6008" w14:textId="77777777" w:rsidR="00505534" w:rsidRPr="00C26172" w:rsidRDefault="00505534">
      <w:pPr>
        <w:rPr>
          <w:b/>
          <w:bCs/>
          <w:color w:val="000000"/>
          <w:sz w:val="28"/>
          <w:szCs w:val="28"/>
          <w:u w:val="single"/>
          <w:lang w:val="en-CA"/>
        </w:rPr>
      </w:pPr>
    </w:p>
    <w:tbl>
      <w:tblPr>
        <w:tblStyle w:val="Grilledutableau"/>
        <w:tblW w:w="0" w:type="auto"/>
        <w:tblLook w:val="04A0" w:firstRow="1" w:lastRow="0" w:firstColumn="1" w:lastColumn="0" w:noHBand="0" w:noVBand="1"/>
      </w:tblPr>
      <w:tblGrid>
        <w:gridCol w:w="4528"/>
        <w:gridCol w:w="4528"/>
      </w:tblGrid>
      <w:tr w:rsidR="00505534" w:rsidRPr="00C26172" w14:paraId="180D2726" w14:textId="77777777" w:rsidTr="00505534">
        <w:tc>
          <w:tcPr>
            <w:tcW w:w="4528" w:type="dxa"/>
          </w:tcPr>
          <w:p w14:paraId="717A4E8C" w14:textId="2B65FC00" w:rsidR="00505534" w:rsidRPr="00C26172" w:rsidRDefault="00505534" w:rsidP="00505534">
            <w:pPr>
              <w:jc w:val="center"/>
              <w:rPr>
                <w:b/>
                <w:bCs/>
                <w:lang w:val="en-CA"/>
              </w:rPr>
            </w:pPr>
            <w:r w:rsidRPr="00C26172">
              <w:rPr>
                <w:b/>
                <w:bCs/>
                <w:lang w:val="en-CA"/>
              </w:rPr>
              <w:t>Dr. Asma AIT BOUNSSIYAL</w:t>
            </w:r>
          </w:p>
        </w:tc>
        <w:tc>
          <w:tcPr>
            <w:tcW w:w="4528" w:type="dxa"/>
          </w:tcPr>
          <w:p w14:paraId="7C244F8F" w14:textId="19F13361" w:rsidR="00505534" w:rsidRPr="00C26172" w:rsidRDefault="00505534" w:rsidP="00505534">
            <w:pPr>
              <w:jc w:val="center"/>
              <w:rPr>
                <w:b/>
                <w:bCs/>
                <w:lang w:val="en-CA"/>
              </w:rPr>
            </w:pPr>
            <w:r w:rsidRPr="00C26172">
              <w:rPr>
                <w:b/>
                <w:bCs/>
                <w:lang w:val="en-CA"/>
              </w:rPr>
              <w:t>Dr. Doha SAHRAOUI</w:t>
            </w:r>
          </w:p>
        </w:tc>
      </w:tr>
      <w:tr w:rsidR="00505534" w:rsidRPr="00C26172" w14:paraId="2D99D37A" w14:textId="77777777" w:rsidTr="00505534">
        <w:tc>
          <w:tcPr>
            <w:tcW w:w="4528" w:type="dxa"/>
          </w:tcPr>
          <w:p w14:paraId="1FBE4841" w14:textId="2A5C5AB8" w:rsidR="00505534" w:rsidRPr="00175DD7" w:rsidRDefault="00505534" w:rsidP="00175DD7">
            <w:pPr>
              <w:snapToGrid w:val="0"/>
              <w:spacing w:before="120"/>
              <w:rPr>
                <w:b/>
                <w:bCs/>
                <w:lang w:val="en-CA"/>
              </w:rPr>
            </w:pPr>
            <w:r w:rsidRPr="00C26172">
              <w:rPr>
                <w:b/>
                <w:bCs/>
                <w:lang w:val="en-CA"/>
              </w:rPr>
              <w:t>Associate Professor in Management Sciences</w:t>
            </w:r>
            <w:r w:rsidRPr="00C26172">
              <w:rPr>
                <w:lang w:val="en-CA"/>
              </w:rPr>
              <w:br/>
              <w:t>Faculty of Economics and Management</w:t>
            </w:r>
            <w:r w:rsidRPr="00C26172">
              <w:rPr>
                <w:lang w:val="en-CA"/>
              </w:rPr>
              <w:br/>
              <w:t>Cadi Ayyad University, Marrakesh, Morocco</w:t>
            </w:r>
          </w:p>
          <w:p w14:paraId="61E6B1E3" w14:textId="77777777" w:rsidR="00505534" w:rsidRPr="00C26172" w:rsidRDefault="00505534" w:rsidP="00175DD7">
            <w:pPr>
              <w:snapToGrid w:val="0"/>
              <w:spacing w:before="120"/>
              <w:rPr>
                <w:lang w:val="en-CA"/>
              </w:rPr>
            </w:pPr>
            <w:r w:rsidRPr="00C26172">
              <w:rPr>
                <w:lang w:val="en-CA"/>
              </w:rPr>
              <w:t>Laboratory for Interdisciplinary Research and Studies in Management and Business Law (LIRE-MD)</w:t>
            </w:r>
          </w:p>
          <w:p w14:paraId="6A434E38" w14:textId="77777777" w:rsidR="00505534" w:rsidRPr="00C26172" w:rsidRDefault="00505534" w:rsidP="00175DD7">
            <w:pPr>
              <w:snapToGrid w:val="0"/>
              <w:spacing w:before="120"/>
              <w:rPr>
                <w:lang w:val="en-CA"/>
              </w:rPr>
            </w:pPr>
            <w:r w:rsidRPr="00C26172">
              <w:rPr>
                <w:lang w:val="en-CA"/>
              </w:rPr>
              <w:t xml:space="preserve">Email: </w:t>
            </w:r>
            <w:hyperlink r:id="rId5" w:history="1">
              <w:r w:rsidRPr="00C26172">
                <w:rPr>
                  <w:rStyle w:val="Lienhypertexte"/>
                  <w:lang w:val="en-CA"/>
                </w:rPr>
                <w:t>bounssiyalasma@gmail.com</w:t>
              </w:r>
            </w:hyperlink>
          </w:p>
          <w:p w14:paraId="4BA39C91" w14:textId="77777777" w:rsidR="00505534" w:rsidRPr="00C26172" w:rsidRDefault="00505534">
            <w:pPr>
              <w:rPr>
                <w:b/>
                <w:bCs/>
                <w:color w:val="000000"/>
                <w:sz w:val="28"/>
                <w:szCs w:val="28"/>
                <w:u w:val="single"/>
                <w:lang w:val="en-CA"/>
              </w:rPr>
            </w:pPr>
          </w:p>
        </w:tc>
        <w:tc>
          <w:tcPr>
            <w:tcW w:w="4528" w:type="dxa"/>
          </w:tcPr>
          <w:p w14:paraId="5709E9CD" w14:textId="77777777" w:rsidR="00505534" w:rsidRPr="00C26172" w:rsidRDefault="00505534" w:rsidP="00175DD7">
            <w:pPr>
              <w:snapToGrid w:val="0"/>
              <w:spacing w:before="120" w:after="120"/>
              <w:rPr>
                <w:b/>
                <w:bCs/>
                <w:lang w:val="en-CA"/>
              </w:rPr>
            </w:pPr>
            <w:r w:rsidRPr="00C26172">
              <w:rPr>
                <w:b/>
                <w:bCs/>
                <w:lang w:val="en-CA"/>
              </w:rPr>
              <w:t>Professor of Higher Education</w:t>
            </w:r>
          </w:p>
          <w:p w14:paraId="325B3BA9" w14:textId="77777777" w:rsidR="00505534" w:rsidRPr="00C26172" w:rsidRDefault="00505534" w:rsidP="00175DD7">
            <w:pPr>
              <w:snapToGrid w:val="0"/>
              <w:spacing w:before="120" w:after="120"/>
              <w:rPr>
                <w:lang w:val="en-CA"/>
              </w:rPr>
            </w:pPr>
            <w:r w:rsidRPr="00C26172">
              <w:rPr>
                <w:lang w:val="en-CA"/>
              </w:rPr>
              <w:t>Faculty of Economics and Management</w:t>
            </w:r>
            <w:r w:rsidRPr="00C26172">
              <w:rPr>
                <w:lang w:val="en-CA"/>
              </w:rPr>
              <w:br/>
              <w:t>Cadi Ayyad University, Marrakesh, Morocco</w:t>
            </w:r>
          </w:p>
          <w:p w14:paraId="710C823B" w14:textId="77777777" w:rsidR="00505534" w:rsidRPr="00C26172" w:rsidRDefault="00505534" w:rsidP="00175DD7">
            <w:pPr>
              <w:snapToGrid w:val="0"/>
              <w:spacing w:before="120" w:after="120"/>
              <w:rPr>
                <w:lang w:val="en-CA"/>
              </w:rPr>
            </w:pPr>
            <w:r w:rsidRPr="00C26172">
              <w:rPr>
                <w:lang w:val="en-CA"/>
              </w:rPr>
              <w:t>Laboratory for Interdisciplinary Research and Studies in Management and Business Law (LIRE-MD)</w:t>
            </w:r>
          </w:p>
          <w:p w14:paraId="07ED0859" w14:textId="77777777" w:rsidR="00505534" w:rsidRPr="00C26172" w:rsidRDefault="00505534" w:rsidP="00175DD7">
            <w:pPr>
              <w:snapToGrid w:val="0"/>
              <w:spacing w:before="120" w:after="120"/>
              <w:rPr>
                <w:lang w:val="en-CA"/>
              </w:rPr>
            </w:pPr>
            <w:r w:rsidRPr="00C26172">
              <w:rPr>
                <w:lang w:val="en-CA"/>
              </w:rPr>
              <w:t>Email: doha.sahraoui@gmail.com</w:t>
            </w:r>
          </w:p>
          <w:p w14:paraId="5EBA569E" w14:textId="77777777" w:rsidR="00505534" w:rsidRPr="00C26172" w:rsidRDefault="00505534">
            <w:pPr>
              <w:rPr>
                <w:b/>
                <w:bCs/>
                <w:color w:val="000000"/>
                <w:sz w:val="28"/>
                <w:szCs w:val="28"/>
                <w:u w:val="single"/>
                <w:lang w:val="en-CA"/>
              </w:rPr>
            </w:pPr>
          </w:p>
        </w:tc>
      </w:tr>
    </w:tbl>
    <w:p w14:paraId="1295C56E" w14:textId="77777777" w:rsidR="00505534" w:rsidRPr="00C26172" w:rsidRDefault="00505534">
      <w:pPr>
        <w:rPr>
          <w:b/>
          <w:bCs/>
          <w:color w:val="000000"/>
          <w:sz w:val="28"/>
          <w:szCs w:val="28"/>
          <w:u w:val="single"/>
          <w:lang w:val="en-CA"/>
        </w:rPr>
      </w:pPr>
    </w:p>
    <w:p w14:paraId="610DAF5A" w14:textId="6133B5BA" w:rsidR="00100487" w:rsidRPr="00C26172" w:rsidRDefault="00100487">
      <w:pPr>
        <w:rPr>
          <w:b/>
          <w:bCs/>
          <w:color w:val="000000"/>
          <w:sz w:val="28"/>
          <w:szCs w:val="28"/>
          <w:u w:val="single"/>
          <w:lang w:val="en-CA"/>
        </w:rPr>
      </w:pPr>
      <w:r w:rsidRPr="00C26172">
        <w:rPr>
          <w:b/>
          <w:bCs/>
          <w:color w:val="000000"/>
          <w:sz w:val="28"/>
          <w:szCs w:val="28"/>
          <w:u w:val="single"/>
          <w:lang w:val="en-CA"/>
        </w:rPr>
        <w:t>Stream outline</w:t>
      </w:r>
    </w:p>
    <w:p w14:paraId="128F9F2C" w14:textId="77777777" w:rsidR="0070348D" w:rsidRPr="00C26172" w:rsidRDefault="0070348D">
      <w:pPr>
        <w:rPr>
          <w:lang w:val="en-CA"/>
        </w:rPr>
      </w:pPr>
    </w:p>
    <w:p w14:paraId="0C816AB0" w14:textId="77777777" w:rsidR="00C26172" w:rsidRPr="00C26172" w:rsidRDefault="00C26172" w:rsidP="00F92C35">
      <w:pPr>
        <w:spacing w:before="120" w:after="120" w:line="360" w:lineRule="auto"/>
        <w:jc w:val="both"/>
        <w:rPr>
          <w:lang w:val="en-CA"/>
        </w:rPr>
      </w:pPr>
      <w:r w:rsidRPr="00C26172">
        <w:rPr>
          <w:lang w:val="en-CA"/>
        </w:rPr>
        <w:t>Women’s career trajectories have traditionally been examined through linear, universal, and ostensibly gender-neutral models of professional advancement. These dominant approaches, largely shaped by masculine norms and Western career ideals, tend to assume homogeneity in women’s experiences and to understate the complexity of the social, cultural, institutional, and organizational contexts in which careers unfold. Although career theories have progressively incorporated notions of flexibility, mobility, and boundarylessness, they continue to insufficiently capture the diversity, discontinuity, and non-linearity that characterize many women’s professional trajectories. Recent research highlights that women’s career trajectories emerge from the dynamic interplay between organizational structures, social norms, and individual conditions, leading to heterogeneous and evolving career patterns rather than standardized paths (Dupray &amp; Epiphane, 2020; Schmader, 2019).</w:t>
      </w:r>
    </w:p>
    <w:p w14:paraId="71F79303" w14:textId="6F86AB4C" w:rsidR="00694A67" w:rsidRPr="00C26172" w:rsidRDefault="00C26172" w:rsidP="00C26172">
      <w:pPr>
        <w:spacing w:before="120" w:after="120" w:line="360" w:lineRule="auto"/>
        <w:jc w:val="both"/>
        <w:rPr>
          <w:lang w:val="en-CA"/>
        </w:rPr>
      </w:pPr>
      <w:r w:rsidRPr="00C26172">
        <w:rPr>
          <w:lang w:val="en-CA"/>
        </w:rPr>
        <w:t>Across contexts, women’s career trajectories develop within pluralistic environments shaped by the intersection of individual, social, and organizational dimensions. Intersectionality has therefore become a key framework for understanding how these dimensions combine over time to shape professional experiences.</w:t>
      </w:r>
      <w:r>
        <w:rPr>
          <w:lang w:val="en-CA"/>
        </w:rPr>
        <w:t xml:space="preserve"> </w:t>
      </w:r>
      <w:r w:rsidRPr="00C26172">
        <w:rPr>
          <w:lang w:val="en-CA"/>
        </w:rPr>
        <w:t xml:space="preserve">Intersectional approaches emphasize that women do not follow uniform career trajectories; rather, trajectories vary according to configurations of social positioning, influencing career decisions, perceived agency, resilience strategies, and pathways of continuity, transition, or reorientation. Rethinking women’s career trajectories through an intersectional lens thus enables a process-oriented understanding of careers, moving beyond </w:t>
      </w:r>
      <w:r w:rsidRPr="00C26172">
        <w:rPr>
          <w:lang w:val="en-CA"/>
        </w:rPr>
        <w:lastRenderedPageBreak/>
        <w:t>linear explanations to account for the complexity, diversity, and temporality of women’s professional lives.</w:t>
      </w:r>
    </w:p>
    <w:p w14:paraId="41CFDB44" w14:textId="4F7AE57C" w:rsidR="00694A67" w:rsidRPr="00C26172" w:rsidRDefault="00694A67" w:rsidP="00F92C35">
      <w:pPr>
        <w:spacing w:before="120" w:after="120" w:line="360" w:lineRule="auto"/>
        <w:jc w:val="both"/>
        <w:rPr>
          <w:lang w:val="en-CA"/>
        </w:rPr>
      </w:pPr>
      <w:r w:rsidRPr="00C26172">
        <w:rPr>
          <w:lang w:val="en-CA"/>
        </w:rPr>
        <w:t xml:space="preserve">Originally developed within feminist scholarship, intersectionality provides a critical lens for examining how systems of power, organizational arrangements, and social positioning interact to shape lived experiences (Crenshaw, 1989; McCall, 2005). Applied to career studies, this approach moves beyond gender as a single explanatory variable and allows for a deeper understanding of how organizational practices, institutional contexts, cultural norms, and individual agency intersect in shaping women’s career trajectories </w:t>
      </w:r>
      <w:r w:rsidR="00A0025D">
        <w:rPr>
          <w:lang w:val="en-CA"/>
        </w:rPr>
        <w:t>(Taser Erdogan, 2021</w:t>
      </w:r>
      <w:proofErr w:type="gramStart"/>
      <w:r w:rsidR="00A0025D">
        <w:rPr>
          <w:lang w:val="en-CA"/>
        </w:rPr>
        <w:t>).</w:t>
      </w:r>
      <w:r w:rsidRPr="00C26172">
        <w:rPr>
          <w:lang w:val="en-CA"/>
        </w:rPr>
        <w:t>An</w:t>
      </w:r>
      <w:proofErr w:type="gramEnd"/>
      <w:r w:rsidRPr="00C26172">
        <w:rPr>
          <w:lang w:val="en-CA"/>
        </w:rPr>
        <w:t xml:space="preserve"> intersectional perspective also</w:t>
      </w:r>
      <w:r w:rsidR="00C26172" w:rsidRPr="00D66A26">
        <w:rPr>
          <w:lang w:val="en-GB"/>
        </w:rPr>
        <w:t xml:space="preserve"> highlights</w:t>
      </w:r>
      <w:r w:rsidR="00C26172" w:rsidRPr="00C26172">
        <w:rPr>
          <w:lang w:val="en-CA"/>
        </w:rPr>
        <w:t xml:space="preserve"> </w:t>
      </w:r>
      <w:r w:rsidRPr="00C26172">
        <w:rPr>
          <w:lang w:val="en-CA"/>
        </w:rPr>
        <w:t>women’s capacity to navigate constraints, mobilize resources, and actively reconfigure their career trajectories over the life course</w:t>
      </w:r>
      <w:r w:rsidR="00A0025D" w:rsidRPr="00D66A26">
        <w:rPr>
          <w:lang w:val="en-GB"/>
        </w:rPr>
        <w:t xml:space="preserve">. </w:t>
      </w:r>
      <w:r w:rsidR="00A0025D" w:rsidRPr="00C26172">
        <w:rPr>
          <w:lang w:val="en-CA"/>
        </w:rPr>
        <w:t xml:space="preserve"> </w:t>
      </w:r>
    </w:p>
    <w:p w14:paraId="50E209B3" w14:textId="11FABEA3" w:rsidR="00F92C35" w:rsidRPr="00C26172" w:rsidRDefault="00F92C35" w:rsidP="00C26172">
      <w:pPr>
        <w:spacing w:before="120" w:after="120" w:line="360" w:lineRule="auto"/>
        <w:jc w:val="both"/>
        <w:rPr>
          <w:lang w:val="en-CA"/>
        </w:rPr>
      </w:pPr>
      <w:r w:rsidRPr="00C26172">
        <w:rPr>
          <w:lang w:val="en-CA"/>
        </w:rPr>
        <w:t xml:space="preserve">This </w:t>
      </w:r>
      <w:r w:rsidR="00C26172">
        <w:rPr>
          <w:lang w:val="en-CA"/>
        </w:rPr>
        <w:t>st</w:t>
      </w:r>
      <w:r w:rsidR="00B04F7A">
        <w:rPr>
          <w:lang w:val="en-CA"/>
        </w:rPr>
        <w:t>r</w:t>
      </w:r>
      <w:r w:rsidR="00C26172">
        <w:rPr>
          <w:lang w:val="en-CA"/>
        </w:rPr>
        <w:t>eam</w:t>
      </w:r>
      <w:r w:rsidRPr="00C26172">
        <w:rPr>
          <w:lang w:val="en-CA"/>
        </w:rPr>
        <w:t xml:space="preserve"> encourages contributions that examine women’s careers across multiple levels of analysis. At the organizational level, gendered HR practices, informal power networks, work–family arrangements, and leadership models may reproduce exclusionary dynamics, even within diversity-oriented discourses</w:t>
      </w:r>
      <w:r w:rsidR="004322B3">
        <w:rPr>
          <w:lang w:val="en-CA"/>
        </w:rPr>
        <w:t xml:space="preserve">. </w:t>
      </w:r>
      <w:r w:rsidRPr="00C26172">
        <w:rPr>
          <w:lang w:val="en-CA"/>
        </w:rPr>
        <w:t xml:space="preserve">At the institutional level, labor market structures, legal frameworks, and public policies interact with cultural norms to shape women’s career opportunities and constraints (ILO, 2022). At the societal level, patriarchy, social capital, and community expectations influence women’s career aspirations, choices, and strategies </w:t>
      </w:r>
      <w:r w:rsidRPr="004322B3">
        <w:rPr>
          <w:lang w:val="en-CA"/>
        </w:rPr>
        <w:t>(Adichie, 2014).</w:t>
      </w:r>
    </w:p>
    <w:p w14:paraId="5E1B9F3C" w14:textId="6B0A2C2C" w:rsidR="00694A67" w:rsidRPr="00C26172" w:rsidRDefault="00F92C35" w:rsidP="00C26172">
      <w:pPr>
        <w:spacing w:before="120" w:after="120" w:line="360" w:lineRule="auto"/>
        <w:jc w:val="both"/>
        <w:rPr>
          <w:lang w:val="en-CA"/>
        </w:rPr>
      </w:pPr>
      <w:r w:rsidRPr="00C26172">
        <w:rPr>
          <w:lang w:val="en-CA"/>
        </w:rPr>
        <w:t>An intersectional approach also allows for the exploration of women’s agency and resilience, highlighting how women actively negotiate constraints, mobilize social networks, develop alternative career paths, and redefine success beyond traditional hierarchical advancement (</w:t>
      </w:r>
      <w:r w:rsidR="004322B3" w:rsidRPr="004322B3">
        <w:t>Ferraro &amp; Marrone, 2025;</w:t>
      </w:r>
      <w:r w:rsidR="004322B3">
        <w:t xml:space="preserve"> </w:t>
      </w:r>
      <w:r w:rsidRPr="004322B3">
        <w:rPr>
          <w:lang w:val="en-CA"/>
        </w:rPr>
        <w:t xml:space="preserve">Guillaume &amp; </w:t>
      </w:r>
      <w:proofErr w:type="spellStart"/>
      <w:r w:rsidRPr="004322B3">
        <w:rPr>
          <w:lang w:val="en-CA"/>
        </w:rPr>
        <w:t>Pochic</w:t>
      </w:r>
      <w:proofErr w:type="spellEnd"/>
      <w:r w:rsidRPr="004322B3">
        <w:rPr>
          <w:lang w:val="en-CA"/>
        </w:rPr>
        <w:t>, 2009; Essers &amp; Benschop, 2007).</w:t>
      </w:r>
    </w:p>
    <w:p w14:paraId="1C7829B4" w14:textId="05D45DD8" w:rsidR="00694A67" w:rsidRPr="00C26172" w:rsidRDefault="00694A67" w:rsidP="00694A67">
      <w:pPr>
        <w:spacing w:before="120" w:after="120" w:line="276" w:lineRule="auto"/>
        <w:jc w:val="both"/>
        <w:rPr>
          <w:b/>
          <w:bCs/>
          <w:lang w:val="en-CA"/>
        </w:rPr>
      </w:pPr>
      <w:r w:rsidRPr="00C26172">
        <w:rPr>
          <w:b/>
          <w:bCs/>
          <w:lang w:val="en-CA"/>
        </w:rPr>
        <w:t>Expected contributions</w:t>
      </w:r>
    </w:p>
    <w:p w14:paraId="0643863A" w14:textId="0AB83183" w:rsidR="00694A67" w:rsidRPr="00C26172" w:rsidRDefault="00694A67" w:rsidP="00C26172">
      <w:pPr>
        <w:spacing w:before="120" w:after="120" w:line="360" w:lineRule="auto"/>
        <w:jc w:val="both"/>
        <w:rPr>
          <w:lang w:val="en-CA"/>
        </w:rPr>
      </w:pPr>
      <w:r w:rsidRPr="00C26172">
        <w:rPr>
          <w:lang w:val="en-CA"/>
        </w:rPr>
        <w:t>This stream welcomes theoretical, empirical, and methodological contributions that seek to advance contemporary understandings of women’s career trajectories through an intersectional lens. Contributions may address, but are not limited to, the following generic and current axes:</w:t>
      </w:r>
    </w:p>
    <w:p w14:paraId="5CA6028F" w14:textId="0D567AFC" w:rsidR="00694A67" w:rsidRPr="00C26172" w:rsidRDefault="00694A67" w:rsidP="00C26172">
      <w:pPr>
        <w:pStyle w:val="Paragraphedeliste"/>
        <w:numPr>
          <w:ilvl w:val="0"/>
          <w:numId w:val="2"/>
        </w:numPr>
        <w:snapToGrid w:val="0"/>
        <w:spacing w:before="120" w:after="120" w:line="360" w:lineRule="auto"/>
        <w:jc w:val="both"/>
        <w:rPr>
          <w:rFonts w:ascii="Times New Roman" w:hAnsi="Times New Roman" w:cs="Times New Roman"/>
          <w:lang w:val="en-CA"/>
        </w:rPr>
      </w:pPr>
      <w:r w:rsidRPr="00C26172">
        <w:rPr>
          <w:rFonts w:ascii="Times New Roman" w:hAnsi="Times New Roman" w:cs="Times New Roman"/>
          <w:lang w:val="en-CA"/>
        </w:rPr>
        <w:t>Intersectionality and the reconfiguration of career trajectories over time</w:t>
      </w:r>
    </w:p>
    <w:p w14:paraId="58DAD57A" w14:textId="02E40C12" w:rsidR="00694A67" w:rsidRPr="00C26172" w:rsidRDefault="00694A67" w:rsidP="00C26172">
      <w:pPr>
        <w:pStyle w:val="Paragraphedeliste"/>
        <w:numPr>
          <w:ilvl w:val="0"/>
          <w:numId w:val="2"/>
        </w:numPr>
        <w:snapToGrid w:val="0"/>
        <w:spacing w:before="120" w:after="120" w:line="360" w:lineRule="auto"/>
        <w:jc w:val="both"/>
        <w:rPr>
          <w:rFonts w:ascii="Times New Roman" w:hAnsi="Times New Roman" w:cs="Times New Roman"/>
          <w:lang w:val="en-CA"/>
        </w:rPr>
      </w:pPr>
      <w:r w:rsidRPr="00C26172">
        <w:rPr>
          <w:rFonts w:ascii="Times New Roman" w:hAnsi="Times New Roman" w:cs="Times New Roman"/>
          <w:lang w:val="en-CA"/>
        </w:rPr>
        <w:t>Career trajectories in contexts of organizational, technological, and societal change</w:t>
      </w:r>
    </w:p>
    <w:p w14:paraId="537AA250" w14:textId="0A730B9F" w:rsidR="00694A67" w:rsidRPr="00C26172" w:rsidRDefault="00694A67" w:rsidP="00C26172">
      <w:pPr>
        <w:pStyle w:val="Paragraphedeliste"/>
        <w:numPr>
          <w:ilvl w:val="0"/>
          <w:numId w:val="2"/>
        </w:numPr>
        <w:snapToGrid w:val="0"/>
        <w:spacing w:before="120" w:after="120" w:line="360" w:lineRule="auto"/>
        <w:jc w:val="both"/>
        <w:rPr>
          <w:rFonts w:ascii="Times New Roman" w:hAnsi="Times New Roman" w:cs="Times New Roman"/>
          <w:lang w:val="en-CA"/>
        </w:rPr>
      </w:pPr>
      <w:r w:rsidRPr="00C26172">
        <w:rPr>
          <w:rFonts w:ascii="Times New Roman" w:hAnsi="Times New Roman" w:cs="Times New Roman"/>
          <w:lang w:val="en-CA"/>
        </w:rPr>
        <w:t>Gendered career dynamics across different career stages and transitions</w:t>
      </w:r>
    </w:p>
    <w:p w14:paraId="198E150B" w14:textId="041A2EEF" w:rsidR="00694A67" w:rsidRPr="00C26172" w:rsidRDefault="00694A67" w:rsidP="00C26172">
      <w:pPr>
        <w:pStyle w:val="Paragraphedeliste"/>
        <w:numPr>
          <w:ilvl w:val="0"/>
          <w:numId w:val="2"/>
        </w:numPr>
        <w:snapToGrid w:val="0"/>
        <w:spacing w:before="120" w:after="120" w:line="360" w:lineRule="auto"/>
        <w:jc w:val="both"/>
        <w:rPr>
          <w:rFonts w:ascii="Times New Roman" w:hAnsi="Times New Roman" w:cs="Times New Roman"/>
          <w:lang w:val="en-CA"/>
        </w:rPr>
      </w:pPr>
      <w:r w:rsidRPr="00C26172">
        <w:rPr>
          <w:rFonts w:ascii="Times New Roman" w:hAnsi="Times New Roman" w:cs="Times New Roman"/>
          <w:lang w:val="en-CA"/>
        </w:rPr>
        <w:t>The role of organizational practices, policies, and cultures in shaping career trajectories</w:t>
      </w:r>
    </w:p>
    <w:p w14:paraId="69373AF3" w14:textId="29F4C93D" w:rsidR="00694A67" w:rsidRPr="00C26172" w:rsidRDefault="00694A67" w:rsidP="00C26172">
      <w:pPr>
        <w:pStyle w:val="Paragraphedeliste"/>
        <w:numPr>
          <w:ilvl w:val="0"/>
          <w:numId w:val="2"/>
        </w:numPr>
        <w:snapToGrid w:val="0"/>
        <w:spacing w:before="120" w:after="120" w:line="360" w:lineRule="auto"/>
        <w:jc w:val="both"/>
        <w:rPr>
          <w:rFonts w:ascii="Times New Roman" w:hAnsi="Times New Roman" w:cs="Times New Roman"/>
          <w:lang w:val="en-CA"/>
        </w:rPr>
      </w:pPr>
      <w:r w:rsidRPr="00C26172">
        <w:rPr>
          <w:rFonts w:ascii="Times New Roman" w:hAnsi="Times New Roman" w:cs="Times New Roman"/>
          <w:lang w:val="en-CA"/>
        </w:rPr>
        <w:t>Career sustainability, wellbeing, and work–life articulation</w:t>
      </w:r>
    </w:p>
    <w:p w14:paraId="750C8542" w14:textId="0BC3E5BE" w:rsidR="00694A67" w:rsidRPr="00C26172" w:rsidRDefault="00694A67" w:rsidP="00C26172">
      <w:pPr>
        <w:pStyle w:val="Paragraphedeliste"/>
        <w:numPr>
          <w:ilvl w:val="0"/>
          <w:numId w:val="2"/>
        </w:numPr>
        <w:snapToGrid w:val="0"/>
        <w:spacing w:before="120" w:after="120" w:line="360" w:lineRule="auto"/>
        <w:jc w:val="both"/>
        <w:rPr>
          <w:rFonts w:ascii="Times New Roman" w:hAnsi="Times New Roman" w:cs="Times New Roman"/>
          <w:lang w:val="en-CA"/>
        </w:rPr>
      </w:pPr>
      <w:r w:rsidRPr="00C26172">
        <w:rPr>
          <w:rFonts w:ascii="Times New Roman" w:hAnsi="Times New Roman" w:cs="Times New Roman"/>
          <w:lang w:val="en-CA"/>
        </w:rPr>
        <w:t>Non-linear, hybrid, or alternative career trajectories</w:t>
      </w:r>
    </w:p>
    <w:p w14:paraId="7D8F4A90" w14:textId="4BFCC70B" w:rsidR="00A13A8C" w:rsidRPr="00240302" w:rsidRDefault="00694A67" w:rsidP="00A13A8C">
      <w:pPr>
        <w:pStyle w:val="Paragraphedeliste"/>
        <w:numPr>
          <w:ilvl w:val="0"/>
          <w:numId w:val="2"/>
        </w:numPr>
        <w:snapToGrid w:val="0"/>
        <w:spacing w:before="120" w:after="120" w:line="360" w:lineRule="auto"/>
        <w:jc w:val="both"/>
        <w:rPr>
          <w:rFonts w:ascii="Times New Roman" w:hAnsi="Times New Roman" w:cs="Times New Roman"/>
          <w:lang w:val="en-CA"/>
        </w:rPr>
      </w:pPr>
      <w:r w:rsidRPr="00C26172">
        <w:rPr>
          <w:rFonts w:ascii="Times New Roman" w:hAnsi="Times New Roman" w:cs="Times New Roman"/>
          <w:lang w:val="en-CA"/>
        </w:rPr>
        <w:lastRenderedPageBreak/>
        <w:t>Methodological innovations in studying career trajectories (e.g. longitudinal, narrative, life-course, mixed methods)</w:t>
      </w:r>
    </w:p>
    <w:p w14:paraId="78482A96" w14:textId="151263E7" w:rsidR="00A13A8C" w:rsidRPr="00C26172" w:rsidRDefault="00A13A8C" w:rsidP="00A13A8C">
      <w:pPr>
        <w:rPr>
          <w:b/>
          <w:bCs/>
          <w:color w:val="000000"/>
          <w:sz w:val="28"/>
          <w:szCs w:val="28"/>
          <w:u w:val="single"/>
          <w:lang w:val="en-CA"/>
        </w:rPr>
      </w:pPr>
      <w:r w:rsidRPr="00C26172">
        <w:rPr>
          <w:b/>
          <w:bCs/>
          <w:color w:val="000000"/>
          <w:sz w:val="28"/>
          <w:szCs w:val="28"/>
          <w:u w:val="single"/>
          <w:lang w:val="en-CA"/>
        </w:rPr>
        <w:t xml:space="preserve">Keywords </w:t>
      </w:r>
    </w:p>
    <w:p w14:paraId="48FCE865" w14:textId="23C886C9" w:rsidR="00A13A8C" w:rsidRPr="00240302" w:rsidRDefault="00A13A8C" w:rsidP="00240302">
      <w:pPr>
        <w:spacing w:before="120" w:after="120" w:line="360" w:lineRule="auto"/>
        <w:jc w:val="both"/>
        <w:rPr>
          <w:lang w:val="en-CA"/>
        </w:rPr>
      </w:pPr>
      <w:r w:rsidRPr="00C26172">
        <w:rPr>
          <w:lang w:val="en-CA"/>
        </w:rPr>
        <w:t>Intersectionality; Women’s Career Trajectories; Gender and Work</w:t>
      </w:r>
      <w:r w:rsidR="00367192">
        <w:rPr>
          <w:lang w:val="en-CA"/>
        </w:rPr>
        <w:t xml:space="preserve">. </w:t>
      </w:r>
    </w:p>
    <w:p w14:paraId="77D6A224" w14:textId="6BF33C11" w:rsidR="0070348D" w:rsidRPr="00C26172" w:rsidRDefault="0070348D" w:rsidP="0070348D">
      <w:pPr>
        <w:rPr>
          <w:b/>
          <w:bCs/>
          <w:color w:val="000000"/>
          <w:sz w:val="28"/>
          <w:szCs w:val="28"/>
          <w:u w:val="single"/>
          <w:lang w:val="en-CA"/>
        </w:rPr>
      </w:pPr>
      <w:r w:rsidRPr="00C26172">
        <w:rPr>
          <w:b/>
          <w:bCs/>
          <w:color w:val="000000"/>
          <w:sz w:val="28"/>
          <w:szCs w:val="28"/>
          <w:u w:val="single"/>
          <w:lang w:val="en-CA"/>
        </w:rPr>
        <w:t>References</w:t>
      </w:r>
    </w:p>
    <w:p w14:paraId="5740BEDB" w14:textId="77777777" w:rsidR="00A13A8C" w:rsidRPr="00C26172" w:rsidRDefault="00A13A8C" w:rsidP="00A13A8C">
      <w:pPr>
        <w:pStyle w:val="NormalWeb"/>
        <w:spacing w:before="120" w:beforeAutospacing="0" w:after="120" w:afterAutospacing="0" w:line="276" w:lineRule="auto"/>
        <w:jc w:val="both"/>
        <w:rPr>
          <w:lang w:val="en-CA"/>
        </w:rPr>
      </w:pPr>
      <w:r w:rsidRPr="00C26172">
        <w:rPr>
          <w:lang w:val="en-CA"/>
        </w:rPr>
        <w:t xml:space="preserve">Crenshaw, K. (1989). Demarginalizing the intersection of race and sex: A Black feminist critique of antidiscrimination doctrine, feminist theory and antiracist politics. </w:t>
      </w:r>
      <w:r w:rsidRPr="00C26172">
        <w:rPr>
          <w:rStyle w:val="Accentuation"/>
          <w:rFonts w:eastAsiaTheme="majorEastAsia"/>
          <w:lang w:val="en-CA"/>
        </w:rPr>
        <w:t>University of Chicago Legal Forum</w:t>
      </w:r>
      <w:r w:rsidRPr="00C26172">
        <w:rPr>
          <w:lang w:val="en-CA"/>
        </w:rPr>
        <w:t>, 1989(1), 139–167.</w:t>
      </w:r>
    </w:p>
    <w:p w14:paraId="69E6C793" w14:textId="64EED2CD" w:rsidR="00A13A8C" w:rsidRDefault="00A13A8C" w:rsidP="00A13A8C">
      <w:pPr>
        <w:pStyle w:val="NormalWeb"/>
        <w:spacing w:before="120" w:beforeAutospacing="0" w:after="120" w:afterAutospacing="0" w:line="276" w:lineRule="auto"/>
        <w:jc w:val="both"/>
        <w:rPr>
          <w:lang w:val="en-CA"/>
        </w:rPr>
      </w:pPr>
      <w:r w:rsidRPr="00C26172">
        <w:rPr>
          <w:lang w:val="en-CA"/>
        </w:rPr>
        <w:t xml:space="preserve">Essers, C., &amp; Benschop, Y. (2007). Enterprising identities: Female entrepreneurs of Moroccan or Turkish origin in the Netherlands. </w:t>
      </w:r>
      <w:r w:rsidRPr="00C26172">
        <w:rPr>
          <w:rStyle w:val="Accentuation"/>
          <w:rFonts w:eastAsiaTheme="majorEastAsia"/>
          <w:lang w:val="en-CA"/>
        </w:rPr>
        <w:t>Organization Studies, 28</w:t>
      </w:r>
      <w:r w:rsidRPr="00C26172">
        <w:rPr>
          <w:lang w:val="en-CA"/>
        </w:rPr>
        <w:t xml:space="preserve">(1), 49–69. </w:t>
      </w:r>
    </w:p>
    <w:p w14:paraId="3487F02B" w14:textId="49E20468" w:rsidR="004322B3" w:rsidRPr="004322B3" w:rsidRDefault="004322B3" w:rsidP="004322B3">
      <w:pPr>
        <w:pStyle w:val="NormalWeb"/>
        <w:spacing w:before="120" w:beforeAutospacing="0" w:after="120" w:afterAutospacing="0" w:line="360" w:lineRule="auto"/>
        <w:jc w:val="both"/>
        <w:rPr>
          <w:color w:val="222222"/>
          <w:shd w:val="clear" w:color="auto" w:fill="FFFFFF"/>
        </w:rPr>
      </w:pPr>
      <w:r w:rsidRPr="00D66A26">
        <w:rPr>
          <w:lang w:val="en-GB"/>
        </w:rPr>
        <w:t>Ferraro, H. S., &amp; Marrone, J. A. (2025). Black Women’s Career Success: Integrating Intersectionality and Career Success Research. </w:t>
      </w:r>
      <w:r w:rsidRPr="004322B3">
        <w:rPr>
          <w:i/>
          <w:iCs/>
        </w:rPr>
        <w:t xml:space="preserve">Group &amp; </w:t>
      </w:r>
      <w:proofErr w:type="spellStart"/>
      <w:r w:rsidRPr="004322B3">
        <w:rPr>
          <w:i/>
          <w:iCs/>
        </w:rPr>
        <w:t>Organization</w:t>
      </w:r>
      <w:proofErr w:type="spellEnd"/>
      <w:r w:rsidRPr="004322B3">
        <w:rPr>
          <w:i/>
          <w:iCs/>
        </w:rPr>
        <w:t xml:space="preserve"> Management</w:t>
      </w:r>
      <w:r w:rsidRPr="004322B3">
        <w:t>, 50(2), 381-419.</w:t>
      </w:r>
    </w:p>
    <w:p w14:paraId="55834172" w14:textId="673676EC" w:rsidR="00A13A8C" w:rsidRPr="00C26172" w:rsidRDefault="00A13A8C" w:rsidP="00A13A8C">
      <w:pPr>
        <w:pStyle w:val="NormalWeb"/>
        <w:spacing w:before="120" w:beforeAutospacing="0" w:after="120" w:afterAutospacing="0" w:line="276" w:lineRule="auto"/>
        <w:jc w:val="both"/>
        <w:rPr>
          <w:lang w:val="en-CA"/>
        </w:rPr>
      </w:pPr>
      <w:r w:rsidRPr="00C26172">
        <w:rPr>
          <w:lang w:val="en-CA"/>
        </w:rPr>
        <w:t xml:space="preserve">Guillaume, C., &amp; </w:t>
      </w:r>
      <w:proofErr w:type="spellStart"/>
      <w:r w:rsidRPr="00C26172">
        <w:rPr>
          <w:lang w:val="en-CA"/>
        </w:rPr>
        <w:t>Pochic</w:t>
      </w:r>
      <w:proofErr w:type="spellEnd"/>
      <w:r w:rsidRPr="00C26172">
        <w:rPr>
          <w:lang w:val="en-CA"/>
        </w:rPr>
        <w:t xml:space="preserve">, S. (2009). What would you sacrifice? Access to top management and the work–life balance. </w:t>
      </w:r>
      <w:r w:rsidRPr="00C26172">
        <w:rPr>
          <w:rStyle w:val="Accentuation"/>
          <w:rFonts w:eastAsiaTheme="majorEastAsia"/>
          <w:lang w:val="en-CA"/>
        </w:rPr>
        <w:t>Gender, Work &amp; Organization, 16</w:t>
      </w:r>
      <w:r w:rsidRPr="00C26172">
        <w:rPr>
          <w:lang w:val="en-CA"/>
        </w:rPr>
        <w:t>(1), 14–36. https://doi.org/10.1111/j.1468-0432.2007.00354.x</w:t>
      </w:r>
    </w:p>
    <w:p w14:paraId="27729399" w14:textId="77777777" w:rsidR="00A13A8C" w:rsidRPr="00C26172" w:rsidRDefault="00A13A8C" w:rsidP="00A13A8C">
      <w:pPr>
        <w:pStyle w:val="NormalWeb"/>
        <w:spacing w:before="120" w:beforeAutospacing="0" w:after="120" w:afterAutospacing="0" w:line="276" w:lineRule="auto"/>
        <w:jc w:val="both"/>
        <w:rPr>
          <w:lang w:val="en-CA"/>
        </w:rPr>
      </w:pPr>
      <w:r w:rsidRPr="00C26172">
        <w:rPr>
          <w:lang w:val="en-CA"/>
        </w:rPr>
        <w:t xml:space="preserve">International Labour Organization (ILO). (2022). </w:t>
      </w:r>
      <w:r w:rsidRPr="00C26172">
        <w:rPr>
          <w:rStyle w:val="Accentuation"/>
          <w:rFonts w:eastAsiaTheme="majorEastAsia"/>
          <w:lang w:val="en-CA"/>
        </w:rPr>
        <w:t>Global employment trends for women</w:t>
      </w:r>
      <w:r w:rsidRPr="00C26172">
        <w:rPr>
          <w:lang w:val="en-CA"/>
        </w:rPr>
        <w:t>. ILO.</w:t>
      </w:r>
    </w:p>
    <w:p w14:paraId="71951E9C" w14:textId="71CA7F5C" w:rsidR="00A13A8C" w:rsidRPr="00C26172" w:rsidRDefault="00A13A8C" w:rsidP="00A13A8C">
      <w:pPr>
        <w:pStyle w:val="NormalWeb"/>
        <w:spacing w:before="120" w:beforeAutospacing="0" w:after="120" w:afterAutospacing="0" w:line="276" w:lineRule="auto"/>
        <w:jc w:val="both"/>
        <w:rPr>
          <w:lang w:val="en-CA"/>
        </w:rPr>
      </w:pPr>
      <w:r w:rsidRPr="00C26172">
        <w:rPr>
          <w:lang w:val="en-CA"/>
        </w:rPr>
        <w:t xml:space="preserve">Kelan, E. K. (2009). Gender fatigue: The ideological dilemma of gender neutrality and discrimination in organizations. </w:t>
      </w:r>
      <w:r w:rsidRPr="00C26172">
        <w:rPr>
          <w:rStyle w:val="Accentuation"/>
          <w:rFonts w:eastAsiaTheme="majorEastAsia"/>
          <w:lang w:val="en-CA"/>
        </w:rPr>
        <w:t>Canadian Journal of Administrative Sciences, 26</w:t>
      </w:r>
      <w:r w:rsidRPr="00C26172">
        <w:rPr>
          <w:lang w:val="en-CA"/>
        </w:rPr>
        <w:t>(3), 197–210. https://doi.org/10.1002/cjas.106</w:t>
      </w:r>
    </w:p>
    <w:p w14:paraId="01C674D2" w14:textId="7ECFF00E" w:rsidR="00A13A8C" w:rsidRPr="00C26172" w:rsidRDefault="00A13A8C" w:rsidP="00A13A8C">
      <w:pPr>
        <w:pStyle w:val="NormalWeb"/>
        <w:spacing w:before="120" w:beforeAutospacing="0" w:after="120" w:afterAutospacing="0" w:line="276" w:lineRule="auto"/>
        <w:jc w:val="both"/>
        <w:rPr>
          <w:lang w:val="en-CA"/>
        </w:rPr>
      </w:pPr>
      <w:r w:rsidRPr="00C26172">
        <w:rPr>
          <w:lang w:val="en-CA"/>
        </w:rPr>
        <w:t xml:space="preserve">McCall, L. (2005). The complexity of intersectionality. </w:t>
      </w:r>
      <w:r w:rsidRPr="00C26172">
        <w:rPr>
          <w:rStyle w:val="Accentuation"/>
          <w:rFonts w:eastAsiaTheme="majorEastAsia"/>
          <w:lang w:val="en-CA"/>
        </w:rPr>
        <w:t>Signs: Journal of Women in Culture and Society, 30</w:t>
      </w:r>
      <w:r w:rsidRPr="00C26172">
        <w:rPr>
          <w:lang w:val="en-CA"/>
        </w:rPr>
        <w:t xml:space="preserve">(3), 1771–1800. </w:t>
      </w:r>
    </w:p>
    <w:p w14:paraId="357C48CC" w14:textId="361291AB" w:rsidR="00A13A8C" w:rsidRPr="00C26172" w:rsidRDefault="00A13A8C" w:rsidP="00A13A8C">
      <w:pPr>
        <w:pStyle w:val="NormalWeb"/>
        <w:spacing w:before="120" w:beforeAutospacing="0" w:after="120" w:afterAutospacing="0" w:line="276" w:lineRule="auto"/>
        <w:jc w:val="both"/>
        <w:rPr>
          <w:lang w:val="en-CA"/>
        </w:rPr>
      </w:pPr>
      <w:r w:rsidRPr="00C26172">
        <w:rPr>
          <w:lang w:val="en-CA"/>
        </w:rPr>
        <w:t xml:space="preserve">Nkomo, S. M. (2011). A postcolonial and anti-colonial reading of “African” leadership and management in organization studies: Tensions, contradictions and possibilities. </w:t>
      </w:r>
      <w:r w:rsidRPr="00C26172">
        <w:rPr>
          <w:rStyle w:val="Accentuation"/>
          <w:rFonts w:eastAsiaTheme="majorEastAsia"/>
          <w:lang w:val="en-CA"/>
        </w:rPr>
        <w:t>Organization, 18</w:t>
      </w:r>
      <w:r w:rsidRPr="00C26172">
        <w:rPr>
          <w:lang w:val="en-CA"/>
        </w:rPr>
        <w:t>(3), 365–386. https://doi.org/10.1177/1350508411398731</w:t>
      </w:r>
    </w:p>
    <w:p w14:paraId="7C019B66" w14:textId="77777777" w:rsidR="00A13A8C" w:rsidRPr="00C26172" w:rsidRDefault="00A13A8C" w:rsidP="00A13A8C">
      <w:pPr>
        <w:pStyle w:val="NormalWeb"/>
        <w:spacing w:before="120" w:beforeAutospacing="0" w:after="120" w:afterAutospacing="0" w:line="276" w:lineRule="auto"/>
        <w:jc w:val="both"/>
        <w:rPr>
          <w:lang w:val="en-CA"/>
        </w:rPr>
      </w:pPr>
      <w:r w:rsidRPr="00C26172">
        <w:rPr>
          <w:lang w:val="en-CA"/>
        </w:rPr>
        <w:t xml:space="preserve">Nkomo, S. M., &amp; Al Ariss, A. (2014). The historical origins of ethnic (white) privilege in US organizations. </w:t>
      </w:r>
      <w:r w:rsidRPr="00C26172">
        <w:rPr>
          <w:rStyle w:val="Accentuation"/>
          <w:rFonts w:eastAsiaTheme="majorEastAsia"/>
          <w:lang w:val="en-CA"/>
        </w:rPr>
        <w:t>Journal of Managerial Psychology, 29</w:t>
      </w:r>
      <w:r w:rsidRPr="00C26172">
        <w:rPr>
          <w:lang w:val="en-CA"/>
        </w:rPr>
        <w:t>(4), 389–404.</w:t>
      </w:r>
      <w:r w:rsidRPr="00C26172">
        <w:rPr>
          <w:lang w:val="en-CA"/>
        </w:rPr>
        <w:br/>
        <w:t>https://doi.org/10.1108/JMP-02-2012-0038</w:t>
      </w:r>
    </w:p>
    <w:p w14:paraId="27151C00" w14:textId="327E7A68" w:rsidR="006F2491" w:rsidRDefault="00A13A8C" w:rsidP="00A13A8C">
      <w:pPr>
        <w:pStyle w:val="NormalWeb"/>
        <w:spacing w:before="120" w:beforeAutospacing="0" w:after="120" w:afterAutospacing="0" w:line="276" w:lineRule="auto"/>
        <w:jc w:val="both"/>
        <w:rPr>
          <w:lang w:val="en-CA"/>
        </w:rPr>
      </w:pPr>
      <w:r w:rsidRPr="00C26172">
        <w:rPr>
          <w:lang w:val="en-CA"/>
        </w:rPr>
        <w:t xml:space="preserve">Ojong, V. B., &amp; </w:t>
      </w:r>
      <w:proofErr w:type="spellStart"/>
      <w:r w:rsidRPr="00C26172">
        <w:rPr>
          <w:lang w:val="en-CA"/>
        </w:rPr>
        <w:t>Nfah-Abbenyi</w:t>
      </w:r>
      <w:proofErr w:type="spellEnd"/>
      <w:r w:rsidRPr="00C26172">
        <w:rPr>
          <w:lang w:val="en-CA"/>
        </w:rPr>
        <w:t xml:space="preserve">, J. M. (2020). Gender, informality and women’s work in Africa. </w:t>
      </w:r>
      <w:r w:rsidRPr="00C26172">
        <w:rPr>
          <w:rStyle w:val="Accentuation"/>
          <w:rFonts w:eastAsiaTheme="majorEastAsia"/>
          <w:lang w:val="en-CA"/>
        </w:rPr>
        <w:t>African Studies Review, 63</w:t>
      </w:r>
      <w:r w:rsidRPr="00C26172">
        <w:rPr>
          <w:lang w:val="en-CA"/>
        </w:rPr>
        <w:t xml:space="preserve">(2), 247–266. </w:t>
      </w:r>
    </w:p>
    <w:p w14:paraId="03C85384" w14:textId="4E7918BE" w:rsidR="00A0025D" w:rsidRDefault="00A0025D" w:rsidP="00A0025D">
      <w:pPr>
        <w:pStyle w:val="NormalWeb"/>
        <w:spacing w:before="120" w:beforeAutospacing="0" w:after="120" w:afterAutospacing="0" w:line="360" w:lineRule="auto"/>
        <w:jc w:val="both"/>
        <w:rPr>
          <w:color w:val="222222"/>
          <w:shd w:val="clear" w:color="auto" w:fill="FFFFFF"/>
        </w:rPr>
      </w:pPr>
      <w:r w:rsidRPr="00D66A26">
        <w:rPr>
          <w:color w:val="222222"/>
          <w:shd w:val="clear" w:color="auto" w:fill="FFFFFF"/>
          <w:lang w:val="en-GB"/>
        </w:rPr>
        <w:t>Taser-Erdogan, D. (2022). Careers advancement of women: Applying a multi-level relational perspective in the context of Turkish banking organisations. </w:t>
      </w:r>
      <w:r w:rsidRPr="00A0025D">
        <w:rPr>
          <w:i/>
          <w:iCs/>
          <w:color w:val="222222"/>
          <w:shd w:val="clear" w:color="auto" w:fill="FFFFFF"/>
        </w:rPr>
        <w:t>Human Relations</w:t>
      </w:r>
      <w:r w:rsidRPr="00A0025D">
        <w:rPr>
          <w:color w:val="222222"/>
          <w:shd w:val="clear" w:color="auto" w:fill="FFFFFF"/>
        </w:rPr>
        <w:t>, </w:t>
      </w:r>
      <w:r w:rsidRPr="00A0025D">
        <w:rPr>
          <w:i/>
          <w:iCs/>
          <w:color w:val="222222"/>
          <w:shd w:val="clear" w:color="auto" w:fill="FFFFFF"/>
        </w:rPr>
        <w:t>75</w:t>
      </w:r>
      <w:r w:rsidRPr="00A0025D">
        <w:rPr>
          <w:color w:val="222222"/>
          <w:shd w:val="clear" w:color="auto" w:fill="FFFFFF"/>
        </w:rPr>
        <w:t>(6), 1053-1083.</w:t>
      </w:r>
    </w:p>
    <w:p w14:paraId="7BF8BE65" w14:textId="77777777" w:rsidR="004322B3" w:rsidRPr="00A0025D" w:rsidRDefault="004322B3" w:rsidP="00A0025D">
      <w:pPr>
        <w:pStyle w:val="NormalWeb"/>
        <w:spacing w:before="120" w:beforeAutospacing="0" w:after="120" w:afterAutospacing="0" w:line="360" w:lineRule="auto"/>
        <w:jc w:val="both"/>
        <w:rPr>
          <w:sz w:val="36"/>
          <w:szCs w:val="36"/>
          <w:lang w:val="en-CA"/>
        </w:rPr>
      </w:pPr>
    </w:p>
    <w:sectPr w:rsidR="004322B3" w:rsidRPr="00A0025D" w:rsidSect="002A298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77111"/>
    <w:multiLevelType w:val="hybridMultilevel"/>
    <w:tmpl w:val="E912E646"/>
    <w:lvl w:ilvl="0" w:tplc="5C1E605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C90268"/>
    <w:multiLevelType w:val="multilevel"/>
    <w:tmpl w:val="F216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535020">
    <w:abstractNumId w:val="1"/>
  </w:num>
  <w:num w:numId="2" w16cid:durableId="117946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91"/>
    <w:rsid w:val="00100487"/>
    <w:rsid w:val="00100C29"/>
    <w:rsid w:val="00126F6C"/>
    <w:rsid w:val="00175DD7"/>
    <w:rsid w:val="00202D93"/>
    <w:rsid w:val="00240302"/>
    <w:rsid w:val="002A298F"/>
    <w:rsid w:val="00367192"/>
    <w:rsid w:val="003A79FA"/>
    <w:rsid w:val="004322B3"/>
    <w:rsid w:val="004543F0"/>
    <w:rsid w:val="00494B5C"/>
    <w:rsid w:val="004B2F5D"/>
    <w:rsid w:val="004E0793"/>
    <w:rsid w:val="00505534"/>
    <w:rsid w:val="0066518E"/>
    <w:rsid w:val="00694A67"/>
    <w:rsid w:val="00696B4B"/>
    <w:rsid w:val="006E27F5"/>
    <w:rsid w:val="006F2491"/>
    <w:rsid w:val="0070348D"/>
    <w:rsid w:val="007B7C2F"/>
    <w:rsid w:val="0080234D"/>
    <w:rsid w:val="00906011"/>
    <w:rsid w:val="00925ADC"/>
    <w:rsid w:val="009B1582"/>
    <w:rsid w:val="009F1CAD"/>
    <w:rsid w:val="00A0025D"/>
    <w:rsid w:val="00A13A8C"/>
    <w:rsid w:val="00A17CAF"/>
    <w:rsid w:val="00A21158"/>
    <w:rsid w:val="00AE0642"/>
    <w:rsid w:val="00B04053"/>
    <w:rsid w:val="00B04F7A"/>
    <w:rsid w:val="00B83058"/>
    <w:rsid w:val="00BB24BA"/>
    <w:rsid w:val="00BB6D1E"/>
    <w:rsid w:val="00BC6AC2"/>
    <w:rsid w:val="00C26172"/>
    <w:rsid w:val="00C76A00"/>
    <w:rsid w:val="00CA6191"/>
    <w:rsid w:val="00D66A26"/>
    <w:rsid w:val="00E55418"/>
    <w:rsid w:val="00F35089"/>
    <w:rsid w:val="00F87D1E"/>
    <w:rsid w:val="00F92C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81A9"/>
  <w15:chartTrackingRefBased/>
  <w15:docId w15:val="{410234B6-323F-C143-9958-5B6F31EA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B3"/>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6F2491"/>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6F2491"/>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unhideWhenUsed/>
    <w:qFormat/>
    <w:rsid w:val="006F2491"/>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6F2491"/>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6F2491"/>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6F2491"/>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6F2491"/>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6F2491"/>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6F2491"/>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249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F249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6F249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F249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F249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F24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24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24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2491"/>
    <w:rPr>
      <w:rFonts w:eastAsiaTheme="majorEastAsia" w:cstheme="majorBidi"/>
      <w:color w:val="272727" w:themeColor="text1" w:themeTint="D8"/>
    </w:rPr>
  </w:style>
  <w:style w:type="paragraph" w:styleId="Titre">
    <w:name w:val="Title"/>
    <w:basedOn w:val="Normal"/>
    <w:next w:val="Normal"/>
    <w:link w:val="TitreCar"/>
    <w:uiPriority w:val="10"/>
    <w:qFormat/>
    <w:rsid w:val="006F249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6F24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249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6F24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2491"/>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6F2491"/>
    <w:rPr>
      <w:i/>
      <w:iCs/>
      <w:color w:val="404040" w:themeColor="text1" w:themeTint="BF"/>
    </w:rPr>
  </w:style>
  <w:style w:type="paragraph" w:styleId="Paragraphedeliste">
    <w:name w:val="List Paragraph"/>
    <w:basedOn w:val="Normal"/>
    <w:uiPriority w:val="34"/>
    <w:qFormat/>
    <w:rsid w:val="006F2491"/>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6F2491"/>
    <w:rPr>
      <w:i/>
      <w:iCs/>
      <w:color w:val="2F5496" w:themeColor="accent1" w:themeShade="BF"/>
    </w:rPr>
  </w:style>
  <w:style w:type="paragraph" w:styleId="Citationintense">
    <w:name w:val="Intense Quote"/>
    <w:basedOn w:val="Normal"/>
    <w:next w:val="Normal"/>
    <w:link w:val="CitationintenseCar"/>
    <w:uiPriority w:val="30"/>
    <w:qFormat/>
    <w:rsid w:val="006F249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6F2491"/>
    <w:rPr>
      <w:i/>
      <w:iCs/>
      <w:color w:val="2F5496" w:themeColor="accent1" w:themeShade="BF"/>
    </w:rPr>
  </w:style>
  <w:style w:type="character" w:styleId="Rfrenceintense">
    <w:name w:val="Intense Reference"/>
    <w:basedOn w:val="Policepardfaut"/>
    <w:uiPriority w:val="32"/>
    <w:qFormat/>
    <w:rsid w:val="006F2491"/>
    <w:rPr>
      <w:b/>
      <w:bCs/>
      <w:smallCaps/>
      <w:color w:val="2F5496" w:themeColor="accent1" w:themeShade="BF"/>
      <w:spacing w:val="5"/>
    </w:rPr>
  </w:style>
  <w:style w:type="paragraph" w:styleId="NormalWeb">
    <w:name w:val="Normal (Web)"/>
    <w:basedOn w:val="Normal"/>
    <w:uiPriority w:val="99"/>
    <w:unhideWhenUsed/>
    <w:rsid w:val="0070348D"/>
    <w:pPr>
      <w:spacing w:before="100" w:beforeAutospacing="1" w:after="100" w:afterAutospacing="1"/>
    </w:pPr>
  </w:style>
  <w:style w:type="character" w:styleId="Lienhypertexte">
    <w:name w:val="Hyperlink"/>
    <w:basedOn w:val="Policepardfaut"/>
    <w:uiPriority w:val="99"/>
    <w:unhideWhenUsed/>
    <w:rsid w:val="0070348D"/>
    <w:rPr>
      <w:color w:val="0563C1" w:themeColor="hyperlink"/>
      <w:u w:val="single"/>
    </w:rPr>
  </w:style>
  <w:style w:type="character" w:styleId="Mentionnonrsolue">
    <w:name w:val="Unresolved Mention"/>
    <w:basedOn w:val="Policepardfaut"/>
    <w:uiPriority w:val="99"/>
    <w:semiHidden/>
    <w:unhideWhenUsed/>
    <w:rsid w:val="0070348D"/>
    <w:rPr>
      <w:color w:val="605E5C"/>
      <w:shd w:val="clear" w:color="auto" w:fill="E1DFDD"/>
    </w:rPr>
  </w:style>
  <w:style w:type="table" w:styleId="Grilledutableau">
    <w:name w:val="Table Grid"/>
    <w:basedOn w:val="TableauNormal"/>
    <w:uiPriority w:val="39"/>
    <w:rsid w:val="0050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13A8C"/>
    <w:rPr>
      <w:b/>
      <w:bCs/>
    </w:rPr>
  </w:style>
  <w:style w:type="character" w:styleId="Accentuation">
    <w:name w:val="Emphasis"/>
    <w:basedOn w:val="Policepardfaut"/>
    <w:uiPriority w:val="20"/>
    <w:qFormat/>
    <w:rsid w:val="00A13A8C"/>
    <w:rPr>
      <w:i/>
      <w:iCs/>
    </w:rPr>
  </w:style>
  <w:style w:type="character" w:styleId="Lienhypertextesuivivisit">
    <w:name w:val="FollowedHyperlink"/>
    <w:basedOn w:val="Policepardfaut"/>
    <w:uiPriority w:val="99"/>
    <w:semiHidden/>
    <w:unhideWhenUsed/>
    <w:rsid w:val="00A13A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unssiyalasm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6072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Bou</dc:creator>
  <cp:keywords/>
  <dc:description/>
  <cp:lastModifiedBy>Imane Driba Mekouar</cp:lastModifiedBy>
  <cp:revision>2</cp:revision>
  <dcterms:created xsi:type="dcterms:W3CDTF">2026-02-04T15:45:00Z</dcterms:created>
  <dcterms:modified xsi:type="dcterms:W3CDTF">2026-02-04T15:45:00Z</dcterms:modified>
</cp:coreProperties>
</file>